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Rule="auto"/>
        <w:rPr>
          <w:rFonts w:ascii="Proxima Nova" w:cs="Proxima Nova" w:eastAsia="Proxima Nova" w:hAnsi="Proxima Nova"/>
          <w:b w:val="1"/>
          <w:color w:val="355f5d"/>
          <w:sz w:val="36"/>
          <w:szCs w:val="3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36"/>
          <w:szCs w:val="36"/>
          <w:rtl w:val="0"/>
        </w:rPr>
        <w:t xml:space="preserve">Tactic: Roadmap &amp; 90-Day Action Plan</w:t>
      </w:r>
    </w:p>
    <w:p w:rsidR="00000000" w:rsidDel="00000000" w:rsidP="00000000" w:rsidRDefault="00000000" w:rsidRPr="00000000" w14:paraId="00000002">
      <w:pPr>
        <w:spacing w:after="160" w:lineRule="auto"/>
        <w:rPr>
          <w:rFonts w:ascii="Proxima Nova" w:cs="Proxima Nova" w:eastAsia="Proxima Nova" w:hAnsi="Proxima Nova"/>
          <w:i w:val="1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Move from big‑picture goals to concrete near‑term action by defining a future milestone, working backward to identify what’s needed to get there, and inviting clear commitments from participants.</w:t>
      </w:r>
    </w:p>
    <w:p w:rsidR="00000000" w:rsidDel="00000000" w:rsidP="00000000" w:rsidRDefault="00000000" w:rsidRPr="00000000" w14:paraId="00000003">
      <w:pPr>
        <w:spacing w:after="20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When to Use It: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br w:type="textWrapping"/>
        <w:t xml:space="preserve">Use when a group needs to turn vision into execution—typically toward the end of a convening. It’s especially useful when the group is ready to set shared milestones, identify clear next steps, clarify ownership, and establish the collaboration cadence post-convening. </w:t>
      </w:r>
    </w:p>
    <w:p w:rsidR="00000000" w:rsidDel="00000000" w:rsidP="00000000" w:rsidRDefault="00000000" w:rsidRPr="00000000" w14:paraId="00000004">
      <w:pPr>
        <w:spacing w:after="0" w:before="240" w:lineRule="auto"/>
        <w:rPr>
          <w:rFonts w:ascii="Proxima Nova" w:cs="Proxima Nova" w:eastAsia="Proxima Nova" w:hAnsi="Proxima Nova"/>
          <w:b w:val="1"/>
          <w:color w:val="355f5d"/>
          <w:sz w:val="26"/>
          <w:szCs w:val="26"/>
        </w:rPr>
      </w:pPr>
      <w:bookmarkStart w:colFirst="0" w:colLast="0" w:name="_heading=h.v023itmd3anq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How it Works: </w:t>
      </w:r>
    </w:p>
    <w:p w:rsidR="00000000" w:rsidDel="00000000" w:rsidP="00000000" w:rsidRDefault="00000000" w:rsidRPr="00000000" w14:paraId="00000005">
      <w:pPr>
        <w:spacing w:after="0" w:before="0" w:lineRule="auto"/>
        <w:ind w:left="0" w:firstLine="0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1 (60 minutes) | </w:t>
      </w:r>
      <w:r w:rsidDel="00000000" w:rsidR="00000000" w:rsidRPr="00000000">
        <w:rPr>
          <w:rFonts w:ascii="Proxima Nova" w:cs="Proxima Nova" w:eastAsia="Proxima Nova" w:hAnsi="Proxima Nova"/>
          <w:b w:val="1"/>
          <w:color w:val="000000"/>
          <w:rtl w:val="0"/>
        </w:rPr>
        <w:t xml:space="preserve">Roadmapping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Customize the worksheet: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the attached worksheet as either a"follow along" guide for participants during the discussion, or as a facilitator guidance document for setting up flip charts/whiteboards in the room.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Start at the end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: Ask, “</w:t>
      </w: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What do we hope to have achieved by the end of [insert timeframe]?”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Capture a clear, specific milestone. If there are no natural milestones or big global moments in the evolution of the work, try one year.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Pull planning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: Working backwards from that milestone, map out where the group needs to be at the end of each quarter.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Identify key workstreams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: Name the major streams of work required to reach those milestones.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Identify missing stakeholders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: Name those who are not in the room, whose contributions will be critical to moving this work forward.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Rule="auto"/>
        <w:ind w:left="0" w:firstLine="0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2 (45 minutes) | 90-Day Action-Planing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Collaboration structure: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Determine whether work will be centralized, decentralized, or divided into working groups.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Meeting cadence: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Decide how often you will meet in the first 90 days.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Timelines: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Pull up calendars and agree on meeting dates, key deadlines, and any shared checkpoints. Record those deadlines.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Rule="auto"/>
        <w:ind w:left="0" w:firstLine="0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3 (30 min) | Making Commitments Individual commitments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Walk up to the roadmap: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Each participant adds their name next to the workstream(s) or first steps they commit to.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Review together: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As a full group, review the commitments out loud, name gaps, and next steps.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after="160" w:before="200" w:lineRule="auto"/>
        <w:rPr>
          <w:rFonts w:ascii="Proxima Nova" w:cs="Proxima Nova" w:eastAsia="Proxima Nova" w:hAnsi="Proxima Nova"/>
          <w:b w:val="1"/>
          <w:color w:val="000000"/>
          <w:sz w:val="26"/>
          <w:szCs w:val="26"/>
        </w:rPr>
      </w:pPr>
      <w:bookmarkStart w:colFirst="0" w:colLast="0" w:name="_heading=h.crdp4uru7fvp" w:id="1"/>
      <w:bookmarkEnd w:id="1"/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Helpful Tips: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before="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Create a roadmap.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Use a large wall, flip chart, or digital whiteboard for the roadmap and 90‑day plan so participants can literally “walk up” and add their names.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before="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Begin with an end goal.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Start with the end‑of‑year milestone—this creates focus and avoids overloading the plan with non‑essential tasks.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Log commitments.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Assign someone to document the roadmap and commitments in real time so there’s a clear artifact to reference and send out as a follow-up after the session.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/>
        <w:drawing>
          <wp:inline distB="114300" distT="114300" distL="114300" distR="114300">
            <wp:extent cx="6215063" cy="8580917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880" l="5347" r="4248" t="2441"/>
                    <a:stretch>
                      <a:fillRect/>
                    </a:stretch>
                  </pic:blipFill>
                  <pic:spPr>
                    <a:xfrm>
                      <a:off x="0" y="0"/>
                      <a:ext cx="6215063" cy="85809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6386513" cy="8933626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5833" r="7638" t="6405"/>
                    <a:stretch>
                      <a:fillRect/>
                    </a:stretch>
                  </pic:blipFill>
                  <pic:spPr>
                    <a:xfrm>
                      <a:off x="0" y="0"/>
                      <a:ext cx="6386513" cy="893362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footerReference r:id="rId11" w:type="first"/>
      <w:pgSz w:h="15840" w:w="12240" w:orient="portrait"/>
      <w:pgMar w:bottom="720" w:top="72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/>
      <w:drawing>
        <wp:inline distB="0" distT="0" distL="0" distR="0">
          <wp:extent cx="1157772" cy="651247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7772" cy="6512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Iqjwg5AvJoX9Jd8X1fRNdNeg8g==">CgMxLjAyDmgudjAyM2l0bWQzYW5xMg5oLmNyZHA0dXJ1N2Z2cDgAciExRWRJZ3lOaUh3cTdJVjB6eTh4ZEhEY05LOUx0bF9GOGU=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